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FA9" w:rsidRPr="00CA48E7" w:rsidRDefault="00906FA9" w:rsidP="00F20B77">
      <w:pPr>
        <w:pStyle w:val="Header"/>
        <w:jc w:val="center"/>
        <w:rPr>
          <w:rFonts w:ascii="Times New Roman" w:hAnsi="Times New Roman" w:cs="Times New Roman"/>
          <w:b/>
          <w:i/>
          <w:sz w:val="24"/>
          <w:szCs w:val="24"/>
        </w:rPr>
      </w:pPr>
      <w:bookmarkStart w:id="0" w:name="_GoBack"/>
      <w:bookmarkEnd w:id="0"/>
    </w:p>
    <w:p w:rsidR="00906FA9" w:rsidRPr="00CA48E7" w:rsidRDefault="00906FA9" w:rsidP="00906FA9">
      <w:pPr>
        <w:rPr>
          <w:rFonts w:ascii="Times New Roman" w:hAnsi="Times New Roman" w:cs="Times New Roman"/>
          <w:sz w:val="24"/>
          <w:szCs w:val="24"/>
        </w:rPr>
      </w:pPr>
    </w:p>
    <w:p w:rsidR="00906FA9" w:rsidRPr="00CA48E7" w:rsidRDefault="00906FA9" w:rsidP="00906FA9">
      <w:pPr>
        <w:rPr>
          <w:rFonts w:ascii="Times New Roman" w:hAnsi="Times New Roman" w:cs="Times New Roman"/>
          <w:sz w:val="24"/>
          <w:szCs w:val="24"/>
        </w:rPr>
      </w:pPr>
    </w:p>
    <w:p w:rsidR="00906FA9" w:rsidRPr="00CA48E7" w:rsidRDefault="00906FA9" w:rsidP="00906FA9">
      <w:pPr>
        <w:rPr>
          <w:rFonts w:ascii="Times New Roman" w:hAnsi="Times New Roman" w:cs="Times New Roman"/>
          <w:sz w:val="24"/>
          <w:szCs w:val="24"/>
        </w:rPr>
      </w:pPr>
    </w:p>
    <w:p w:rsidR="00906FA9" w:rsidRPr="00CA48E7" w:rsidRDefault="00906FA9" w:rsidP="00906FA9">
      <w:pPr>
        <w:rPr>
          <w:rFonts w:ascii="Times New Roman" w:hAnsi="Times New Roman" w:cs="Times New Roman"/>
          <w:sz w:val="24"/>
          <w:szCs w:val="24"/>
        </w:rPr>
      </w:pPr>
    </w:p>
    <w:p w:rsidR="00906FA9" w:rsidRPr="00CA48E7" w:rsidRDefault="00906FA9" w:rsidP="00906FA9">
      <w:pPr>
        <w:rPr>
          <w:rFonts w:ascii="Times New Roman" w:hAnsi="Times New Roman" w:cs="Times New Roman"/>
          <w:sz w:val="24"/>
          <w:szCs w:val="24"/>
        </w:rPr>
      </w:pPr>
    </w:p>
    <w:p w:rsidR="00906FA9" w:rsidRPr="00CA48E7" w:rsidRDefault="00906FA9" w:rsidP="00906FA9">
      <w:pPr>
        <w:rPr>
          <w:rFonts w:ascii="Times New Roman" w:hAnsi="Times New Roman" w:cs="Times New Roman"/>
          <w:sz w:val="24"/>
          <w:szCs w:val="24"/>
        </w:rPr>
      </w:pPr>
    </w:p>
    <w:p w:rsidR="00906FA9" w:rsidRPr="00CA48E7" w:rsidRDefault="00906FA9" w:rsidP="00906FA9">
      <w:pPr>
        <w:rPr>
          <w:rFonts w:ascii="Times New Roman" w:hAnsi="Times New Roman" w:cs="Times New Roman"/>
          <w:sz w:val="24"/>
          <w:szCs w:val="24"/>
        </w:rPr>
      </w:pPr>
    </w:p>
    <w:p w:rsidR="00906FA9" w:rsidRPr="00CA48E7" w:rsidRDefault="00906FA9" w:rsidP="00906FA9">
      <w:pPr>
        <w:rPr>
          <w:rFonts w:ascii="Times New Roman" w:hAnsi="Times New Roman" w:cs="Times New Roman"/>
          <w:sz w:val="24"/>
          <w:szCs w:val="24"/>
        </w:rPr>
      </w:pPr>
    </w:p>
    <w:p w:rsidR="00906FA9" w:rsidRPr="00CA48E7" w:rsidRDefault="00906FA9" w:rsidP="00906FA9">
      <w:pPr>
        <w:jc w:val="center"/>
        <w:rPr>
          <w:rFonts w:ascii="Times New Roman" w:hAnsi="Times New Roman" w:cs="Times New Roman"/>
          <w:b/>
          <w:sz w:val="24"/>
          <w:szCs w:val="24"/>
        </w:rPr>
      </w:pPr>
    </w:p>
    <w:p w:rsidR="00CA48E7" w:rsidRPr="00CA48E7" w:rsidRDefault="00CA48E7" w:rsidP="00CA48E7">
      <w:pPr>
        <w:rPr>
          <w:rFonts w:ascii="Times New Roman" w:hAnsi="Times New Roman" w:cs="Times New Roman"/>
          <w:b/>
          <w:sz w:val="24"/>
          <w:szCs w:val="24"/>
        </w:rPr>
      </w:pPr>
    </w:p>
    <w:p w:rsidR="00CA48E7" w:rsidRPr="00CA48E7" w:rsidRDefault="00CA48E7" w:rsidP="00CA48E7">
      <w:pPr>
        <w:rPr>
          <w:rFonts w:ascii="Times New Roman" w:hAnsi="Times New Roman" w:cs="Times New Roman"/>
          <w:b/>
          <w:sz w:val="24"/>
          <w:szCs w:val="24"/>
        </w:rPr>
      </w:pPr>
    </w:p>
    <w:p w:rsidR="00906FA9" w:rsidRPr="009C6866" w:rsidRDefault="004B601A" w:rsidP="00906FA9">
      <w:pPr>
        <w:jc w:val="center"/>
        <w:rPr>
          <w:rFonts w:ascii="Times New Roman" w:hAnsi="Times New Roman" w:cs="Times New Roman"/>
          <w:b/>
          <w:sz w:val="96"/>
          <w:szCs w:val="96"/>
        </w:rPr>
      </w:pPr>
      <w:r>
        <w:rPr>
          <w:rFonts w:ascii="Times New Roman" w:hAnsi="Times New Roman" w:cs="Times New Roman"/>
          <w:b/>
          <w:sz w:val="96"/>
          <w:szCs w:val="96"/>
        </w:rPr>
        <w:t>Attachment</w:t>
      </w:r>
      <w:r w:rsidR="00906FA9">
        <w:rPr>
          <w:rFonts w:ascii="Times New Roman" w:hAnsi="Times New Roman" w:cs="Times New Roman"/>
          <w:b/>
          <w:sz w:val="96"/>
          <w:szCs w:val="96"/>
        </w:rPr>
        <w:t xml:space="preserve"> A</w:t>
      </w:r>
    </w:p>
    <w:p w:rsidR="00906FA9" w:rsidRPr="00CA48E7" w:rsidRDefault="00906FA9" w:rsidP="00906FA9">
      <w:pPr>
        <w:jc w:val="center"/>
        <w:rPr>
          <w:rFonts w:ascii="Times New Roman" w:hAnsi="Times New Roman" w:cs="Times New Roman"/>
          <w:b/>
          <w:sz w:val="24"/>
          <w:szCs w:val="24"/>
        </w:rPr>
      </w:pPr>
    </w:p>
    <w:p w:rsidR="00906FA9" w:rsidRPr="00CA48E7" w:rsidRDefault="00906FA9" w:rsidP="00906FA9">
      <w:pPr>
        <w:jc w:val="center"/>
        <w:rPr>
          <w:rFonts w:ascii="Times New Roman" w:hAnsi="Times New Roman" w:cs="Times New Roman"/>
          <w:b/>
          <w:sz w:val="24"/>
          <w:szCs w:val="24"/>
        </w:rPr>
      </w:pPr>
    </w:p>
    <w:p w:rsidR="00906FA9" w:rsidRDefault="00906FA9"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Default="003C1C11" w:rsidP="00906FA9">
      <w:pPr>
        <w:jc w:val="center"/>
        <w:rPr>
          <w:rFonts w:ascii="Times New Roman" w:hAnsi="Times New Roman" w:cs="Times New Roman"/>
          <w:b/>
          <w:sz w:val="24"/>
          <w:szCs w:val="24"/>
        </w:rPr>
      </w:pPr>
    </w:p>
    <w:p w:rsidR="003C1C11" w:rsidRPr="003C1C11" w:rsidRDefault="003C1C11" w:rsidP="003C1C11">
      <w:pPr>
        <w:pBdr>
          <w:bottom w:val="single" w:sz="4" w:space="2" w:color="auto"/>
        </w:pBdr>
        <w:spacing w:before="360" w:after="100" w:afterAutospacing="1" w:line="240" w:lineRule="auto"/>
        <w:jc w:val="center"/>
        <w:rPr>
          <w:rFonts w:ascii="Times New Roman" w:eastAsia="Calibri" w:hAnsi="Times New Roman" w:cs="Times New Roman"/>
          <w:b/>
          <w:sz w:val="32"/>
          <w:szCs w:val="32"/>
        </w:rPr>
      </w:pPr>
      <w:r w:rsidRPr="003C1C11">
        <w:rPr>
          <w:rFonts w:ascii="Times New Roman" w:eastAsia="Calibri" w:hAnsi="Times New Roman" w:cs="Times New Roman"/>
          <w:b/>
          <w:sz w:val="32"/>
          <w:szCs w:val="32"/>
        </w:rPr>
        <w:t>PUC Interoffice Memorandum</w:t>
      </w:r>
    </w:p>
    <w:p w:rsidR="003C1C11" w:rsidRPr="003C1C11" w:rsidRDefault="003C1C11" w:rsidP="003C1C11">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r w:rsidRPr="003C1C11">
        <w:rPr>
          <w:rFonts w:ascii="Times New Roman" w:eastAsia="Times New Roman" w:hAnsi="Times New Roman" w:cs="Times New Roman"/>
          <w:b/>
          <w:sz w:val="24"/>
          <w:szCs w:val="24"/>
        </w:rPr>
        <w:t>To:</w:t>
      </w:r>
      <w:r w:rsidRPr="003C1C11">
        <w:rPr>
          <w:rFonts w:ascii="Times New Roman" w:eastAsia="Times New Roman" w:hAnsi="Times New Roman" w:cs="Times New Roman"/>
          <w:sz w:val="24"/>
          <w:szCs w:val="24"/>
        </w:rPr>
        <w:tab/>
      </w:r>
      <w:r w:rsidR="00522226">
        <w:rPr>
          <w:rFonts w:ascii="Times New Roman" w:eastAsia="Times New Roman" w:hAnsi="Times New Roman" w:cs="Times New Roman"/>
          <w:sz w:val="24"/>
          <w:szCs w:val="24"/>
        </w:rPr>
        <w:t>Alexander Petak</w:t>
      </w:r>
      <w:r w:rsidRPr="003C1C11">
        <w:rPr>
          <w:rFonts w:ascii="Times New Roman" w:eastAsia="Times New Roman" w:hAnsi="Times New Roman" w:cs="Times New Roman"/>
          <w:sz w:val="24"/>
          <w:szCs w:val="24"/>
        </w:rPr>
        <w:t>, Attorney</w:t>
      </w:r>
    </w:p>
    <w:p w:rsidR="003C1C11" w:rsidRPr="003C1C11" w:rsidRDefault="003C1C11" w:rsidP="003C1C11">
      <w:pPr>
        <w:widowControl w:val="0"/>
        <w:tabs>
          <w:tab w:val="left" w:pos="1440"/>
        </w:tabs>
        <w:autoSpaceDE w:val="0"/>
        <w:autoSpaceDN w:val="0"/>
        <w:adjustRightInd w:val="0"/>
        <w:spacing w:after="0" w:line="240" w:lineRule="auto"/>
        <w:ind w:left="1440"/>
        <w:jc w:val="both"/>
        <w:rPr>
          <w:rFonts w:ascii="Times New Roman" w:eastAsia="Times New Roman" w:hAnsi="Times New Roman" w:cs="Times New Roman"/>
          <w:sz w:val="24"/>
          <w:szCs w:val="24"/>
        </w:rPr>
      </w:pPr>
      <w:r w:rsidRPr="003C1C11">
        <w:rPr>
          <w:rFonts w:ascii="Times New Roman" w:eastAsia="Times New Roman" w:hAnsi="Times New Roman" w:cs="Times New Roman"/>
          <w:sz w:val="24"/>
          <w:szCs w:val="24"/>
        </w:rPr>
        <w:t>Legal Division</w:t>
      </w:r>
    </w:p>
    <w:p w:rsidR="003C1C11" w:rsidRPr="003C1C11" w:rsidRDefault="003C1C11" w:rsidP="003C1C11">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p>
    <w:p w:rsidR="003C1C11" w:rsidRPr="003C1C11" w:rsidRDefault="003C1C11" w:rsidP="003C1C11">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r w:rsidRPr="003C1C11">
        <w:rPr>
          <w:rFonts w:ascii="Times New Roman" w:eastAsia="Times New Roman" w:hAnsi="Times New Roman" w:cs="Times New Roman"/>
          <w:b/>
          <w:sz w:val="24"/>
          <w:szCs w:val="24"/>
        </w:rPr>
        <w:t>Thru:</w:t>
      </w:r>
      <w:r w:rsidRPr="003C1C11">
        <w:rPr>
          <w:rFonts w:ascii="Times New Roman" w:eastAsia="Times New Roman" w:hAnsi="Times New Roman" w:cs="Times New Roman"/>
          <w:sz w:val="24"/>
          <w:szCs w:val="24"/>
        </w:rPr>
        <w:tab/>
        <w:t>Heidi Graham, Manager</w:t>
      </w:r>
    </w:p>
    <w:p w:rsidR="003C1C11" w:rsidRPr="003C1C11" w:rsidRDefault="003C1C11" w:rsidP="003C1C11">
      <w:pPr>
        <w:widowControl w:val="0"/>
        <w:tabs>
          <w:tab w:val="left" w:pos="1440"/>
        </w:tabs>
        <w:autoSpaceDE w:val="0"/>
        <w:autoSpaceDN w:val="0"/>
        <w:adjustRightInd w:val="0"/>
        <w:spacing w:after="0" w:line="240" w:lineRule="auto"/>
        <w:ind w:left="1440"/>
        <w:jc w:val="both"/>
        <w:rPr>
          <w:rFonts w:ascii="Times New Roman" w:eastAsia="Times New Roman" w:hAnsi="Times New Roman" w:cs="Times New Roman"/>
          <w:sz w:val="24"/>
          <w:szCs w:val="24"/>
        </w:rPr>
      </w:pPr>
      <w:r w:rsidRPr="003C1C11">
        <w:rPr>
          <w:rFonts w:ascii="Times New Roman" w:eastAsia="Times New Roman" w:hAnsi="Times New Roman" w:cs="Times New Roman"/>
          <w:sz w:val="24"/>
          <w:szCs w:val="24"/>
        </w:rPr>
        <w:t>Water Utilities Division</w:t>
      </w:r>
    </w:p>
    <w:p w:rsidR="003C1C11" w:rsidRPr="003C1C11" w:rsidRDefault="003C1C11" w:rsidP="003C1C11">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p>
    <w:p w:rsidR="003C1C11" w:rsidRPr="003C1C11" w:rsidRDefault="003C1C11" w:rsidP="003C1C11">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r w:rsidRPr="003C1C11">
        <w:rPr>
          <w:rFonts w:ascii="Times New Roman" w:eastAsia="Times New Roman" w:hAnsi="Times New Roman" w:cs="Times New Roman"/>
          <w:b/>
          <w:sz w:val="24"/>
          <w:szCs w:val="24"/>
        </w:rPr>
        <w:t>From:</w:t>
      </w:r>
      <w:r w:rsidRPr="003C1C11">
        <w:rPr>
          <w:rFonts w:ascii="Times New Roman" w:eastAsia="Times New Roman" w:hAnsi="Times New Roman" w:cs="Times New Roman"/>
          <w:sz w:val="24"/>
          <w:szCs w:val="24"/>
        </w:rPr>
        <w:tab/>
        <w:t>Elisabeth English, Engineering Specialist</w:t>
      </w:r>
    </w:p>
    <w:p w:rsidR="003C1C11" w:rsidRPr="003C1C11" w:rsidRDefault="003C1C11" w:rsidP="003C1C11">
      <w:pPr>
        <w:widowControl w:val="0"/>
        <w:autoSpaceDE w:val="0"/>
        <w:autoSpaceDN w:val="0"/>
        <w:adjustRightInd w:val="0"/>
        <w:spacing w:after="0" w:line="240" w:lineRule="auto"/>
        <w:ind w:left="1440"/>
        <w:jc w:val="both"/>
        <w:rPr>
          <w:rFonts w:ascii="Times New Roman" w:eastAsia="Times New Roman" w:hAnsi="Times New Roman" w:cs="Times New Roman"/>
          <w:sz w:val="24"/>
          <w:szCs w:val="24"/>
        </w:rPr>
      </w:pPr>
      <w:r w:rsidRPr="003C1C11">
        <w:rPr>
          <w:rFonts w:ascii="Times New Roman" w:eastAsia="Times New Roman" w:hAnsi="Times New Roman" w:cs="Times New Roman"/>
          <w:sz w:val="24"/>
          <w:szCs w:val="24"/>
        </w:rPr>
        <w:t>Water Utilities Division</w:t>
      </w:r>
    </w:p>
    <w:p w:rsidR="003C1C11" w:rsidRPr="003C1C11" w:rsidRDefault="003C1C11" w:rsidP="003C1C11">
      <w:pPr>
        <w:widowControl w:val="0"/>
        <w:tabs>
          <w:tab w:val="left" w:pos="1440"/>
        </w:tabs>
        <w:autoSpaceDE w:val="0"/>
        <w:autoSpaceDN w:val="0"/>
        <w:adjustRightInd w:val="0"/>
        <w:spacing w:after="0" w:line="240" w:lineRule="auto"/>
        <w:ind w:left="1440" w:hanging="1440"/>
        <w:jc w:val="both"/>
        <w:rPr>
          <w:rFonts w:ascii="Times New Roman" w:eastAsia="Times New Roman" w:hAnsi="Times New Roman" w:cs="Times New Roman"/>
          <w:sz w:val="24"/>
          <w:szCs w:val="24"/>
        </w:rPr>
      </w:pPr>
    </w:p>
    <w:p w:rsidR="003C1C11" w:rsidRPr="003C1C11" w:rsidRDefault="003C1C11" w:rsidP="003C1C11">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24"/>
          <w:szCs w:val="24"/>
        </w:rPr>
      </w:pPr>
      <w:r w:rsidRPr="003C1C11">
        <w:rPr>
          <w:rFonts w:ascii="Times New Roman" w:eastAsia="Times New Roman" w:hAnsi="Times New Roman" w:cs="Times New Roman"/>
          <w:b/>
          <w:sz w:val="24"/>
          <w:szCs w:val="24"/>
        </w:rPr>
        <w:t>Date:</w:t>
      </w:r>
      <w:r w:rsidRPr="003C1C11">
        <w:rPr>
          <w:rFonts w:ascii="Times New Roman" w:eastAsia="Times New Roman" w:hAnsi="Times New Roman" w:cs="Times New Roman"/>
          <w:sz w:val="24"/>
          <w:szCs w:val="24"/>
        </w:rPr>
        <w:tab/>
      </w:r>
      <w:r w:rsidR="00522226">
        <w:rPr>
          <w:rFonts w:ascii="Times New Roman" w:eastAsia="Times New Roman" w:hAnsi="Times New Roman" w:cs="Times New Roman"/>
          <w:sz w:val="24"/>
          <w:szCs w:val="24"/>
        </w:rPr>
        <w:t>December 19</w:t>
      </w:r>
      <w:r w:rsidRPr="003C1C11">
        <w:rPr>
          <w:rFonts w:ascii="Times New Roman" w:eastAsia="Times New Roman" w:hAnsi="Times New Roman" w:cs="Times New Roman"/>
          <w:sz w:val="24"/>
          <w:szCs w:val="24"/>
        </w:rPr>
        <w:t xml:space="preserve">, 2018 </w:t>
      </w:r>
    </w:p>
    <w:p w:rsidR="003C1C11" w:rsidRPr="003C1C11" w:rsidRDefault="003C1C11" w:rsidP="003C1C11">
      <w:pPr>
        <w:widowControl w:val="0"/>
        <w:tabs>
          <w:tab w:val="left" w:pos="1440"/>
        </w:tabs>
        <w:autoSpaceDE w:val="0"/>
        <w:autoSpaceDN w:val="0"/>
        <w:adjustRightInd w:val="0"/>
        <w:spacing w:after="0" w:line="240" w:lineRule="auto"/>
        <w:ind w:left="1440" w:hanging="1440"/>
        <w:jc w:val="both"/>
        <w:rPr>
          <w:rFonts w:ascii="Times New Roman" w:eastAsia="Times New Roman" w:hAnsi="Times New Roman" w:cs="Times New Roman"/>
          <w:sz w:val="24"/>
          <w:szCs w:val="24"/>
        </w:rPr>
      </w:pPr>
    </w:p>
    <w:p w:rsidR="003C1C11" w:rsidRPr="003C1C11" w:rsidRDefault="003C1C11" w:rsidP="003C1C11">
      <w:pPr>
        <w:widowControl w:val="0"/>
        <w:tabs>
          <w:tab w:val="left" w:pos="1440"/>
        </w:tabs>
        <w:autoSpaceDE w:val="0"/>
        <w:autoSpaceDN w:val="0"/>
        <w:adjustRightInd w:val="0"/>
        <w:spacing w:after="0" w:line="240" w:lineRule="auto"/>
        <w:ind w:left="1440" w:hanging="1440"/>
        <w:jc w:val="both"/>
        <w:rPr>
          <w:rFonts w:ascii="Times New Roman" w:eastAsia="Times New Roman" w:hAnsi="Times New Roman" w:cs="Times New Roman"/>
          <w:i/>
          <w:sz w:val="24"/>
          <w:szCs w:val="24"/>
        </w:rPr>
      </w:pPr>
      <w:r w:rsidRPr="003C1C11">
        <w:rPr>
          <w:rFonts w:ascii="Times New Roman" w:eastAsia="Times New Roman" w:hAnsi="Times New Roman" w:cs="Times New Roman"/>
          <w:b/>
          <w:sz w:val="24"/>
          <w:szCs w:val="24"/>
        </w:rPr>
        <w:t>Subject:</w:t>
      </w:r>
      <w:r w:rsidRPr="003C1C11">
        <w:rPr>
          <w:rFonts w:ascii="Times New Roman" w:eastAsia="Times New Roman" w:hAnsi="Times New Roman" w:cs="Times New Roman"/>
          <w:b/>
          <w:sz w:val="24"/>
          <w:szCs w:val="24"/>
        </w:rPr>
        <w:tab/>
        <w:t xml:space="preserve">Docket 48033, </w:t>
      </w:r>
      <w:r w:rsidRPr="003C1C11">
        <w:rPr>
          <w:rFonts w:ascii="Times New Roman" w:eastAsia="Times New Roman" w:hAnsi="Times New Roman" w:cs="Times New Roman"/>
          <w:i/>
          <w:sz w:val="24"/>
          <w:szCs w:val="24"/>
        </w:rPr>
        <w:t>Application of Crystal Springs Water Co., Inc. to Amend a Certificate of Convenience and Necessity (CCN) in Montgomery County</w:t>
      </w:r>
    </w:p>
    <w:p w:rsidR="003C1C11" w:rsidRPr="003C1C11" w:rsidRDefault="003C1C11" w:rsidP="003C1C11">
      <w:pPr>
        <w:widowControl w:val="0"/>
        <w:autoSpaceDE w:val="0"/>
        <w:autoSpaceDN w:val="0"/>
        <w:adjustRightInd w:val="0"/>
        <w:spacing w:after="0" w:line="240" w:lineRule="auto"/>
        <w:ind w:left="1440" w:hanging="1440"/>
        <w:jc w:val="both"/>
        <w:rPr>
          <w:rFonts w:ascii="Times New Roman" w:eastAsia="Times New Roman" w:hAnsi="Times New Roman" w:cs="Times New Roman"/>
          <w:sz w:val="24"/>
          <w:szCs w:val="24"/>
        </w:rPr>
      </w:pPr>
    </w:p>
    <w:p w:rsidR="003C1C11" w:rsidRPr="003C1C11" w:rsidRDefault="003C1C11" w:rsidP="003C1C1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C1C11">
        <w:rPr>
          <w:rFonts w:ascii="Times New Roman" w:eastAsia="Times New Roman" w:hAnsi="Times New Roman" w:cs="Times New Roman"/>
          <w:sz w:val="24"/>
          <w:szCs w:val="24"/>
        </w:rPr>
        <w:t xml:space="preserve">On February 7, 2018, Crystal Springs Water Co., Inc.  (Applicant) filed an application to amend  water Certificate of Convenience and Necessity (CCN) No. 11373 in Montgomery County, Texas, pursuant to Texas Water Code (TWC) §§ 13.242-.250 and 16 Texas Administrative Code (TAC) §§ 24.101-.107 and 24.119.  </w:t>
      </w: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1440"/>
        <w:jc w:val="both"/>
        <w:rPr>
          <w:rFonts w:ascii="Times New Roman" w:eastAsia="Times New Roman" w:hAnsi="Times New Roman" w:cs="Times New Roman"/>
          <w:b/>
          <w:bCs/>
          <w:color w:val="000000"/>
          <w:sz w:val="24"/>
          <w:szCs w:val="24"/>
          <w:u w:val="single"/>
        </w:rPr>
      </w:pPr>
      <w:r w:rsidRPr="003C1C11">
        <w:rPr>
          <w:rFonts w:ascii="Times New Roman" w:eastAsia="Times New Roman" w:hAnsi="Times New Roman" w:cs="Times New Roman"/>
          <w:b/>
          <w:color w:val="000000"/>
          <w:sz w:val="24"/>
          <w:szCs w:val="24"/>
          <w:u w:val="single"/>
        </w:rPr>
        <w:t>Background</w:t>
      </w: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rPr>
      </w:pPr>
      <w:r w:rsidRPr="003C1C11">
        <w:rPr>
          <w:rFonts w:ascii="Times New Roman" w:eastAsia="Times New Roman" w:hAnsi="Times New Roman" w:cs="Times New Roman"/>
          <w:noProof/>
          <w:color w:val="000000"/>
          <w:sz w:val="24"/>
          <w:szCs w:val="24"/>
        </w:rPr>
        <w:t xml:space="preserve">The </w:t>
      </w:r>
      <w:r w:rsidRPr="003C1C11">
        <w:rPr>
          <w:rFonts w:ascii="Times New Roman" w:eastAsia="Times New Roman" w:hAnsi="Times New Roman" w:cs="Times New Roman"/>
          <w:color w:val="000000"/>
          <w:sz w:val="24"/>
          <w:szCs w:val="24"/>
        </w:rPr>
        <w:t>Applicant</w:t>
      </w:r>
      <w:r w:rsidRPr="003C1C11">
        <w:rPr>
          <w:rFonts w:ascii="Times New Roman" w:eastAsia="Times New Roman" w:hAnsi="Times New Roman" w:cs="Times New Roman"/>
          <w:noProof/>
          <w:color w:val="000000"/>
          <w:sz w:val="24"/>
          <w:szCs w:val="24"/>
        </w:rPr>
        <w:t xml:space="preserve"> </w:t>
      </w:r>
      <w:r w:rsidRPr="003C1C11">
        <w:rPr>
          <w:rFonts w:ascii="Times New Roman" w:eastAsia="Times New Roman" w:hAnsi="Times New Roman" w:cs="Times New Roman"/>
          <w:color w:val="000000"/>
          <w:sz w:val="24"/>
          <w:szCs w:val="24"/>
        </w:rPr>
        <w:t xml:space="preserve">is seeking to amend its water CCN for a service area containing approximately 102 acres, which does not have any current customers. The land will be developed into a residential subdivision, Monterrey Oaks, which is projected to have 240 customers. </w:t>
      </w: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1440"/>
        <w:jc w:val="both"/>
        <w:rPr>
          <w:rFonts w:ascii="Times New Roman" w:eastAsia="Times New Roman" w:hAnsi="Times New Roman" w:cs="Times New Roman"/>
          <w:b/>
          <w:color w:val="000000"/>
          <w:sz w:val="24"/>
          <w:szCs w:val="24"/>
          <w:u w:val="single"/>
        </w:rPr>
      </w:pPr>
      <w:r w:rsidRPr="003C1C11">
        <w:rPr>
          <w:rFonts w:ascii="Times New Roman" w:eastAsia="Times New Roman" w:hAnsi="Times New Roman" w:cs="Times New Roman"/>
          <w:b/>
          <w:color w:val="000000"/>
          <w:sz w:val="24"/>
          <w:szCs w:val="24"/>
          <w:u w:val="single"/>
        </w:rPr>
        <w:t>Notice</w:t>
      </w:r>
    </w:p>
    <w:p w:rsidR="003C1C11" w:rsidRPr="003C1C11" w:rsidRDefault="003C1C11" w:rsidP="003C1C1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color w:val="000000"/>
          <w:sz w:val="24"/>
          <w:szCs w:val="24"/>
        </w:rPr>
        <w:t>The comment period ended April 20, 2018 and no protests or opt-out requests were received.</w:t>
      </w: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C1C11" w:rsidRPr="003C1C11" w:rsidRDefault="003C1C11" w:rsidP="003C1C11">
      <w:pPr>
        <w:spacing w:after="0" w:line="240" w:lineRule="auto"/>
        <w:rPr>
          <w:rFonts w:ascii="Times New Roman" w:eastAsia="Times New Roman" w:hAnsi="Times New Roman" w:cs="Times New Roman"/>
          <w:b/>
          <w:color w:val="000000"/>
          <w:sz w:val="24"/>
          <w:szCs w:val="24"/>
          <w:u w:val="single"/>
        </w:rPr>
      </w:pPr>
      <w:r w:rsidRPr="003C1C11">
        <w:rPr>
          <w:rFonts w:ascii="Times New Roman" w:eastAsia="Times New Roman" w:hAnsi="Times New Roman" w:cs="Times New Roman"/>
          <w:b/>
          <w:color w:val="000000"/>
          <w:sz w:val="24"/>
          <w:szCs w:val="24"/>
          <w:u w:val="single"/>
        </w:rPr>
        <w:t>Criteria Considered</w:t>
      </w:r>
    </w:p>
    <w:p w:rsidR="003C1C11" w:rsidRPr="003C1C11" w:rsidRDefault="003C1C11" w:rsidP="003C1C11">
      <w:pPr>
        <w:spacing w:after="0" w:line="240" w:lineRule="auto"/>
        <w:contextualSpacing/>
        <w:jc w:val="both"/>
        <w:rPr>
          <w:rFonts w:ascii="Times New Roman" w:eastAsia="Calibri" w:hAnsi="Times New Roman" w:cs="Times New Roman"/>
          <w:color w:val="000000"/>
          <w:sz w:val="24"/>
          <w:szCs w:val="24"/>
        </w:rPr>
      </w:pPr>
      <w:r w:rsidRPr="003C1C11">
        <w:rPr>
          <w:rFonts w:ascii="Times New Roman" w:eastAsia="Calibri" w:hAnsi="Times New Roman" w:cs="Times New Roman"/>
          <w:color w:val="000000"/>
          <w:sz w:val="24"/>
          <w:szCs w:val="24"/>
        </w:rPr>
        <w:t>TWC § 13.246(c) requires the Commission to consider nine criteria when granting or amending a CCN.  Therefore, the following criteria were considered:</w:t>
      </w:r>
    </w:p>
    <w:p w:rsidR="003C1C11" w:rsidRPr="003C1C11" w:rsidRDefault="003C1C11" w:rsidP="003C1C11">
      <w:pPr>
        <w:spacing w:after="0" w:line="240" w:lineRule="auto"/>
        <w:jc w:val="both"/>
        <w:rPr>
          <w:rFonts w:ascii="Times New Roman" w:eastAsia="Calibri" w:hAnsi="Times New Roman" w:cs="Times New Roman"/>
          <w:b/>
          <w:i/>
          <w:color w:val="000000"/>
          <w:sz w:val="24"/>
          <w:szCs w:val="24"/>
        </w:rPr>
      </w:pPr>
    </w:p>
    <w:p w:rsidR="003C1C11" w:rsidRPr="003C1C11" w:rsidRDefault="003C1C11" w:rsidP="003C1C11">
      <w:pPr>
        <w:spacing w:after="0" w:line="240" w:lineRule="auto"/>
        <w:jc w:val="both"/>
        <w:rPr>
          <w:rFonts w:ascii="Times New Roman" w:eastAsia="Calibri" w:hAnsi="Times New Roman" w:cs="Times New Roman"/>
          <w:color w:val="000000"/>
          <w:sz w:val="24"/>
          <w:szCs w:val="24"/>
        </w:rPr>
      </w:pPr>
      <w:r w:rsidRPr="003C1C11">
        <w:rPr>
          <w:rFonts w:ascii="Times New Roman" w:eastAsia="Calibri" w:hAnsi="Times New Roman" w:cs="Times New Roman"/>
          <w:b/>
          <w:i/>
          <w:color w:val="000000"/>
          <w:sz w:val="24"/>
          <w:szCs w:val="24"/>
        </w:rPr>
        <w:t>TWC § 13.246(c</w:t>
      </w:r>
      <w:proofErr w:type="gramStart"/>
      <w:r w:rsidRPr="003C1C11">
        <w:rPr>
          <w:rFonts w:ascii="Times New Roman" w:eastAsia="Calibri" w:hAnsi="Times New Roman" w:cs="Times New Roman"/>
          <w:b/>
          <w:i/>
          <w:color w:val="000000"/>
          <w:sz w:val="24"/>
          <w:szCs w:val="24"/>
        </w:rPr>
        <w:t>)(</w:t>
      </w:r>
      <w:proofErr w:type="gramEnd"/>
      <w:r w:rsidRPr="003C1C11">
        <w:rPr>
          <w:rFonts w:ascii="Times New Roman" w:eastAsia="Calibri" w:hAnsi="Times New Roman" w:cs="Times New Roman"/>
          <w:b/>
          <w:i/>
          <w:color w:val="000000"/>
          <w:sz w:val="24"/>
          <w:szCs w:val="24"/>
        </w:rPr>
        <w:t>1) requires the Commission to consider the adequacy of service currently provided to the requested area.</w:t>
      </w:r>
      <w:r w:rsidRPr="003C1C11">
        <w:rPr>
          <w:rFonts w:ascii="Times New Roman" w:eastAsia="Calibri" w:hAnsi="Times New Roman" w:cs="Times New Roman"/>
          <w:color w:val="000000"/>
          <w:sz w:val="24"/>
          <w:szCs w:val="24"/>
        </w:rPr>
        <w:t xml:space="preserve">  </w:t>
      </w: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noProof/>
          <w:color w:val="000000"/>
          <w:sz w:val="24"/>
          <w:szCs w:val="24"/>
        </w:rPr>
        <w:t xml:space="preserve">The Applicant </w:t>
      </w:r>
      <w:r w:rsidRPr="003C1C11">
        <w:rPr>
          <w:rFonts w:ascii="Times New Roman" w:eastAsia="Times New Roman" w:hAnsi="Times New Roman" w:cs="Times New Roman"/>
          <w:color w:val="000000"/>
          <w:sz w:val="24"/>
          <w:szCs w:val="24"/>
        </w:rPr>
        <w:t xml:space="preserve">has a public water system registered with the Texas Commission on Environmental Quality (TCEQ) under Public Water System (PWS) Identification No. 1700879, which was approved for construction by TCEQ on June 16, 2017. </w:t>
      </w:r>
    </w:p>
    <w:p w:rsidR="003C1C11" w:rsidRPr="003C1C11" w:rsidRDefault="003C1C11" w:rsidP="003C1C11">
      <w:pPr>
        <w:spacing w:after="0" w:line="240" w:lineRule="auto"/>
        <w:rPr>
          <w:rFonts w:ascii="Times New Roman" w:eastAsia="Times New Roman" w:hAnsi="Times New Roman" w:cs="Times New Roman"/>
          <w:color w:val="000000"/>
          <w:sz w:val="24"/>
          <w:szCs w:val="24"/>
        </w:rPr>
      </w:pPr>
    </w:p>
    <w:p w:rsidR="003C1C11" w:rsidRPr="003C1C11" w:rsidRDefault="003C1C11" w:rsidP="003C1C11">
      <w:pPr>
        <w:spacing w:after="0" w:line="240" w:lineRule="auto"/>
        <w:contextualSpacing/>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b/>
          <w:i/>
          <w:iCs/>
          <w:color w:val="000000"/>
          <w:sz w:val="24"/>
          <w:szCs w:val="24"/>
        </w:rPr>
        <w:t>TWC § 13.246(c</w:t>
      </w:r>
      <w:proofErr w:type="gramStart"/>
      <w:r w:rsidRPr="003C1C11">
        <w:rPr>
          <w:rFonts w:ascii="Times New Roman" w:eastAsia="Times New Roman" w:hAnsi="Times New Roman" w:cs="Times New Roman"/>
          <w:b/>
          <w:i/>
          <w:iCs/>
          <w:color w:val="000000"/>
          <w:sz w:val="24"/>
          <w:szCs w:val="24"/>
        </w:rPr>
        <w:t>)(</w:t>
      </w:r>
      <w:proofErr w:type="gramEnd"/>
      <w:r w:rsidRPr="003C1C11">
        <w:rPr>
          <w:rFonts w:ascii="Times New Roman" w:eastAsia="Times New Roman" w:hAnsi="Times New Roman" w:cs="Times New Roman"/>
          <w:b/>
          <w:i/>
          <w:iCs/>
          <w:color w:val="000000"/>
          <w:sz w:val="24"/>
          <w:szCs w:val="24"/>
        </w:rPr>
        <w:t>2) requires the Commission to consider the need for service in the requested area.</w:t>
      </w:r>
      <w:r w:rsidRPr="003C1C11">
        <w:rPr>
          <w:rFonts w:ascii="Times New Roman" w:eastAsia="Times New Roman" w:hAnsi="Times New Roman" w:cs="Times New Roman"/>
          <w:color w:val="000000"/>
          <w:sz w:val="24"/>
          <w:szCs w:val="24"/>
        </w:rPr>
        <w:t xml:space="preserve">  </w:t>
      </w:r>
    </w:p>
    <w:p w:rsidR="003C1C11" w:rsidRPr="003C1C11" w:rsidRDefault="003C1C11" w:rsidP="003C1C11">
      <w:pPr>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color w:val="000000"/>
          <w:sz w:val="24"/>
          <w:szCs w:val="24"/>
        </w:rPr>
        <w:t xml:space="preserve">There is a need for service as the developer and landowner, Monterrey Oaks, LTD., has requested water service from the Applicant. </w:t>
      </w:r>
    </w:p>
    <w:p w:rsidR="003C1C11" w:rsidRPr="003C1C11" w:rsidRDefault="003C1C11" w:rsidP="003C1C11">
      <w:pPr>
        <w:spacing w:after="0" w:line="240" w:lineRule="auto"/>
        <w:jc w:val="both"/>
        <w:rPr>
          <w:rFonts w:ascii="Times New Roman" w:eastAsia="Times New Roman" w:hAnsi="Times New Roman" w:cs="Times New Roman"/>
          <w:color w:val="000000"/>
          <w:sz w:val="24"/>
          <w:szCs w:val="24"/>
        </w:rPr>
      </w:pPr>
    </w:p>
    <w:p w:rsidR="003C1C11" w:rsidRPr="003C1C11" w:rsidRDefault="003C1C11" w:rsidP="003C1C11">
      <w:pPr>
        <w:spacing w:after="0" w:line="240" w:lineRule="auto"/>
        <w:contextualSpacing/>
        <w:jc w:val="both"/>
        <w:rPr>
          <w:rFonts w:ascii="Times New Roman" w:eastAsia="Times New Roman" w:hAnsi="Times New Roman" w:cs="Times New Roman"/>
          <w:iCs/>
          <w:color w:val="000000"/>
          <w:sz w:val="24"/>
          <w:szCs w:val="24"/>
        </w:rPr>
      </w:pPr>
      <w:r w:rsidRPr="003C1C11">
        <w:rPr>
          <w:rFonts w:ascii="Times New Roman" w:eastAsia="Times New Roman" w:hAnsi="Times New Roman" w:cs="Times New Roman"/>
          <w:b/>
          <w:i/>
          <w:iCs/>
          <w:color w:val="000000"/>
          <w:sz w:val="24"/>
          <w:szCs w:val="24"/>
        </w:rPr>
        <w:t>TWC § 13.246(c</w:t>
      </w:r>
      <w:proofErr w:type="gramStart"/>
      <w:r w:rsidRPr="003C1C11">
        <w:rPr>
          <w:rFonts w:ascii="Times New Roman" w:eastAsia="Times New Roman" w:hAnsi="Times New Roman" w:cs="Times New Roman"/>
          <w:b/>
          <w:i/>
          <w:iCs/>
          <w:color w:val="000000"/>
          <w:sz w:val="24"/>
          <w:szCs w:val="24"/>
        </w:rPr>
        <w:t>)(</w:t>
      </w:r>
      <w:proofErr w:type="gramEnd"/>
      <w:r w:rsidRPr="003C1C11">
        <w:rPr>
          <w:rFonts w:ascii="Times New Roman" w:eastAsia="Times New Roman" w:hAnsi="Times New Roman" w:cs="Times New Roman"/>
          <w:b/>
          <w:i/>
          <w:iCs/>
          <w:color w:val="000000"/>
          <w:sz w:val="24"/>
          <w:szCs w:val="24"/>
        </w:rPr>
        <w:t>3) requires the Commission to consider the effect of granting an amendment on the recipient and on any other retail public utility servicing the proximate area.</w:t>
      </w:r>
      <w:r w:rsidRPr="003C1C11">
        <w:rPr>
          <w:rFonts w:ascii="Times New Roman" w:eastAsia="Times New Roman" w:hAnsi="Times New Roman" w:cs="Times New Roman"/>
          <w:iCs/>
          <w:color w:val="000000"/>
          <w:sz w:val="24"/>
          <w:szCs w:val="24"/>
        </w:rPr>
        <w:t xml:space="preserve">  </w:t>
      </w:r>
    </w:p>
    <w:p w:rsidR="003C1C11" w:rsidRDefault="003C1C11" w:rsidP="003C1C11">
      <w:pPr>
        <w:spacing w:after="0" w:line="240" w:lineRule="auto"/>
        <w:contextualSpacing/>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color w:val="000000"/>
          <w:sz w:val="24"/>
          <w:szCs w:val="24"/>
        </w:rPr>
        <w:lastRenderedPageBreak/>
        <w:t xml:space="preserve">There will be no effect on any retail public utility servicing the proximate area as there are no other utilities able to serve the requested area. </w:t>
      </w:r>
    </w:p>
    <w:p w:rsidR="003C1C11" w:rsidRDefault="003C1C11" w:rsidP="003C1C11">
      <w:pPr>
        <w:spacing w:after="0" w:line="240" w:lineRule="auto"/>
        <w:contextualSpacing/>
        <w:jc w:val="both"/>
        <w:rPr>
          <w:rFonts w:ascii="Times New Roman" w:eastAsia="Times New Roman" w:hAnsi="Times New Roman" w:cs="Times New Roman"/>
          <w:color w:val="000000"/>
          <w:sz w:val="24"/>
          <w:szCs w:val="24"/>
        </w:rPr>
      </w:pPr>
    </w:p>
    <w:p w:rsidR="003C1C11" w:rsidRPr="003C1C11" w:rsidRDefault="003C1C11" w:rsidP="003C1C11">
      <w:pPr>
        <w:spacing w:after="0" w:line="240" w:lineRule="auto"/>
        <w:contextualSpacing/>
        <w:jc w:val="both"/>
        <w:rPr>
          <w:rFonts w:ascii="Times New Roman" w:eastAsia="Times New Roman" w:hAnsi="Times New Roman" w:cs="Times New Roman"/>
          <w:color w:val="000000"/>
          <w:sz w:val="24"/>
          <w:szCs w:val="24"/>
        </w:rPr>
      </w:pP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b/>
          <w:i/>
          <w:iCs/>
          <w:color w:val="000000"/>
          <w:sz w:val="24"/>
          <w:szCs w:val="24"/>
        </w:rPr>
      </w:pP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b/>
          <w:i/>
          <w:iCs/>
          <w:color w:val="000000"/>
          <w:sz w:val="24"/>
          <w:szCs w:val="24"/>
        </w:rPr>
      </w:pPr>
      <w:r w:rsidRPr="003C1C11">
        <w:rPr>
          <w:rFonts w:ascii="Times New Roman" w:eastAsia="Times New Roman" w:hAnsi="Times New Roman" w:cs="Times New Roman"/>
          <w:b/>
          <w:i/>
          <w:iCs/>
          <w:color w:val="000000"/>
          <w:sz w:val="24"/>
          <w:szCs w:val="24"/>
        </w:rPr>
        <w:t>TWC § 13.246(c</w:t>
      </w:r>
      <w:proofErr w:type="gramStart"/>
      <w:r w:rsidRPr="003C1C11">
        <w:rPr>
          <w:rFonts w:ascii="Times New Roman" w:eastAsia="Times New Roman" w:hAnsi="Times New Roman" w:cs="Times New Roman"/>
          <w:b/>
          <w:i/>
          <w:iCs/>
          <w:color w:val="000000"/>
          <w:sz w:val="24"/>
          <w:szCs w:val="24"/>
        </w:rPr>
        <w:t>)(</w:t>
      </w:r>
      <w:proofErr w:type="gramEnd"/>
      <w:r w:rsidRPr="003C1C11">
        <w:rPr>
          <w:rFonts w:ascii="Times New Roman" w:eastAsia="Times New Roman" w:hAnsi="Times New Roman" w:cs="Times New Roman"/>
          <w:b/>
          <w:i/>
          <w:iCs/>
          <w:color w:val="000000"/>
          <w:sz w:val="24"/>
          <w:szCs w:val="24"/>
        </w:rPr>
        <w:t xml:space="preserve">4) requires the Commission to consider the ability of the Applicant to provide adequate service.  </w:t>
      </w: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noProof/>
          <w:color w:val="000000"/>
          <w:sz w:val="24"/>
          <w:szCs w:val="24"/>
        </w:rPr>
        <w:t xml:space="preserve">The Applicant </w:t>
      </w:r>
      <w:r w:rsidRPr="003C1C11">
        <w:rPr>
          <w:rFonts w:ascii="Times New Roman" w:eastAsia="Times New Roman" w:hAnsi="Times New Roman" w:cs="Times New Roman"/>
          <w:color w:val="000000"/>
          <w:sz w:val="24"/>
          <w:szCs w:val="24"/>
        </w:rPr>
        <w:t>has a public water system registered with the TCEQ under PWS Identification No. 1700879, which was approved for construction by TCEQ on June 16, 2017. T</w:t>
      </w:r>
      <w:r w:rsidRPr="003C1C11">
        <w:rPr>
          <w:rFonts w:ascii="Times New Roman" w:eastAsia="Times New Roman" w:hAnsi="Times New Roman" w:cs="Times New Roman"/>
          <w:noProof/>
          <w:color w:val="000000"/>
          <w:sz w:val="24"/>
          <w:szCs w:val="24"/>
        </w:rPr>
        <w:t xml:space="preserve">he Applicant </w:t>
      </w:r>
      <w:r w:rsidRPr="003C1C11">
        <w:rPr>
          <w:rFonts w:ascii="Times New Roman" w:eastAsia="Times New Roman" w:hAnsi="Times New Roman" w:cs="Times New Roman"/>
          <w:color w:val="000000"/>
          <w:sz w:val="24"/>
          <w:szCs w:val="24"/>
        </w:rPr>
        <w:t>does not have any violations listed in the TCEQ database. Additionally, the Applicant has been providing water and wastewater service since 1977, serving over 3,200 customers in 24 different neighborhoods in Montgomery and Walker counties.</w:t>
      </w: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color w:val="000000"/>
          <w:sz w:val="24"/>
          <w:szCs w:val="24"/>
        </w:rPr>
        <w:t xml:space="preserve"> </w:t>
      </w:r>
    </w:p>
    <w:p w:rsidR="003C1C11" w:rsidRPr="003C1C11" w:rsidRDefault="003C1C11" w:rsidP="003C1C11">
      <w:pPr>
        <w:spacing w:after="0" w:line="240" w:lineRule="auto"/>
        <w:contextualSpacing/>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b/>
          <w:i/>
          <w:iCs/>
          <w:color w:val="000000"/>
          <w:sz w:val="24"/>
          <w:szCs w:val="24"/>
        </w:rPr>
        <w:t>TWC § 13.246(c</w:t>
      </w:r>
      <w:proofErr w:type="gramStart"/>
      <w:r w:rsidRPr="003C1C11">
        <w:rPr>
          <w:rFonts w:ascii="Times New Roman" w:eastAsia="Times New Roman" w:hAnsi="Times New Roman" w:cs="Times New Roman"/>
          <w:b/>
          <w:i/>
          <w:iCs/>
          <w:color w:val="000000"/>
          <w:sz w:val="24"/>
          <w:szCs w:val="24"/>
        </w:rPr>
        <w:t>)(</w:t>
      </w:r>
      <w:proofErr w:type="gramEnd"/>
      <w:r w:rsidRPr="003C1C11">
        <w:rPr>
          <w:rFonts w:ascii="Times New Roman" w:eastAsia="Times New Roman" w:hAnsi="Times New Roman" w:cs="Times New Roman"/>
          <w:b/>
          <w:i/>
          <w:iCs/>
          <w:color w:val="000000"/>
          <w:sz w:val="24"/>
          <w:szCs w:val="24"/>
        </w:rPr>
        <w:t>5) requires the Commission to consider the feasibility of obtaining service from an adjacent retail public utility.</w:t>
      </w:r>
      <w:r w:rsidRPr="003C1C11">
        <w:rPr>
          <w:rFonts w:ascii="Times New Roman" w:eastAsia="Times New Roman" w:hAnsi="Times New Roman" w:cs="Times New Roman"/>
          <w:iCs/>
          <w:color w:val="000000"/>
          <w:sz w:val="24"/>
          <w:szCs w:val="24"/>
        </w:rPr>
        <w:t xml:space="preserve">  </w:t>
      </w:r>
      <w:r w:rsidRPr="003C1C11">
        <w:rPr>
          <w:rFonts w:ascii="Times New Roman" w:eastAsia="Times New Roman" w:hAnsi="Times New Roman" w:cs="Times New Roman"/>
          <w:color w:val="000000"/>
          <w:sz w:val="24"/>
          <w:szCs w:val="24"/>
        </w:rPr>
        <w:t xml:space="preserve"> </w:t>
      </w:r>
    </w:p>
    <w:p w:rsidR="003C1C11" w:rsidRPr="003C1C11" w:rsidRDefault="003C1C11" w:rsidP="003C1C11">
      <w:pPr>
        <w:spacing w:after="0" w:line="240" w:lineRule="auto"/>
        <w:jc w:val="both"/>
        <w:rPr>
          <w:rFonts w:ascii="Times New Roman" w:eastAsia="Times New Roman" w:hAnsi="Times New Roman" w:cs="Times New Roman"/>
          <w:iCs/>
          <w:color w:val="000000"/>
          <w:sz w:val="24"/>
          <w:szCs w:val="24"/>
        </w:rPr>
      </w:pPr>
      <w:r w:rsidRPr="003C1C11">
        <w:rPr>
          <w:rFonts w:ascii="Times New Roman" w:eastAsia="Times New Roman" w:hAnsi="Times New Roman" w:cs="Times New Roman"/>
          <w:color w:val="000000"/>
          <w:sz w:val="24"/>
          <w:szCs w:val="24"/>
        </w:rPr>
        <w:t xml:space="preserve">The application included the letters sent to the surrounding water and sewer utilities within a two mile radius requesting service. The Applicant did not receive any offers of service from these surrounding utilities. </w:t>
      </w:r>
    </w:p>
    <w:p w:rsidR="003C1C11" w:rsidRPr="003C1C11" w:rsidRDefault="003C1C11" w:rsidP="003C1C11">
      <w:pPr>
        <w:spacing w:after="0" w:line="240" w:lineRule="auto"/>
        <w:jc w:val="both"/>
        <w:rPr>
          <w:rFonts w:ascii="Times New Roman" w:eastAsia="Times New Roman" w:hAnsi="Times New Roman" w:cs="Times New Roman"/>
          <w:b/>
          <w:i/>
          <w:color w:val="000000"/>
          <w:sz w:val="24"/>
          <w:szCs w:val="24"/>
        </w:rPr>
      </w:pPr>
    </w:p>
    <w:p w:rsidR="003C1C11" w:rsidRPr="003C1C11" w:rsidRDefault="003C1C11" w:rsidP="003C1C11">
      <w:pPr>
        <w:spacing w:after="0" w:line="240" w:lineRule="auto"/>
        <w:jc w:val="both"/>
        <w:rPr>
          <w:rFonts w:ascii="Times New Roman" w:eastAsia="Calibri" w:hAnsi="Times New Roman" w:cs="Times New Roman"/>
          <w:color w:val="000000"/>
          <w:sz w:val="24"/>
          <w:szCs w:val="24"/>
        </w:rPr>
      </w:pPr>
      <w:r w:rsidRPr="003C1C11">
        <w:rPr>
          <w:rFonts w:ascii="Times New Roman" w:eastAsia="Times New Roman" w:hAnsi="Times New Roman" w:cs="Times New Roman"/>
          <w:b/>
          <w:i/>
          <w:color w:val="000000"/>
          <w:sz w:val="24"/>
          <w:szCs w:val="24"/>
        </w:rPr>
        <w:t>TWC § 13.246(c</w:t>
      </w:r>
      <w:proofErr w:type="gramStart"/>
      <w:r w:rsidRPr="003C1C11">
        <w:rPr>
          <w:rFonts w:ascii="Times New Roman" w:eastAsia="Times New Roman" w:hAnsi="Times New Roman" w:cs="Times New Roman"/>
          <w:b/>
          <w:i/>
          <w:color w:val="000000"/>
          <w:sz w:val="24"/>
          <w:szCs w:val="24"/>
        </w:rPr>
        <w:t>)(</w:t>
      </w:r>
      <w:proofErr w:type="gramEnd"/>
      <w:r w:rsidRPr="003C1C11">
        <w:rPr>
          <w:rFonts w:ascii="Times New Roman" w:eastAsia="Times New Roman" w:hAnsi="Times New Roman" w:cs="Times New Roman"/>
          <w:b/>
          <w:i/>
          <w:color w:val="000000"/>
          <w:sz w:val="24"/>
          <w:szCs w:val="24"/>
        </w:rPr>
        <w:t xml:space="preserve">6) requires the Commission to consider the financial ability of the Applicant to pay for facilities necessary to provide continuous and adequate service. </w:t>
      </w:r>
      <w:r w:rsidRPr="003C1C11">
        <w:rPr>
          <w:rFonts w:ascii="Times New Roman" w:eastAsia="Times New Roman" w:hAnsi="Times New Roman" w:cs="Times New Roman"/>
          <w:color w:val="000000"/>
          <w:sz w:val="24"/>
          <w:szCs w:val="24"/>
        </w:rPr>
        <w:t xml:space="preserve"> </w:t>
      </w:r>
    </w:p>
    <w:p w:rsidR="003C1C11" w:rsidRPr="003C1C11" w:rsidRDefault="003C1C11" w:rsidP="003C1C11">
      <w:pPr>
        <w:spacing w:after="0" w:line="240" w:lineRule="auto"/>
        <w:jc w:val="both"/>
        <w:rPr>
          <w:rFonts w:ascii="Times New Roman" w:eastAsia="Calibri" w:hAnsi="Times New Roman" w:cs="Times New Roman"/>
          <w:color w:val="000000"/>
          <w:sz w:val="24"/>
          <w:szCs w:val="24"/>
        </w:rPr>
      </w:pPr>
      <w:r w:rsidRPr="003C1C11">
        <w:rPr>
          <w:rFonts w:ascii="Times New Roman" w:eastAsia="Calibri" w:hAnsi="Times New Roman" w:cs="Times New Roman"/>
          <w:color w:val="000000"/>
          <w:sz w:val="24"/>
          <w:szCs w:val="24"/>
        </w:rPr>
        <w:t xml:space="preserve">The Applicant has met the leverage test with a debt service coverage ratio of 1.49, which is greater than 1.25.  The Applicant has also met the operations test. The Applicant provided projected financial statements and based upon these projections the net income from continuing operations is projected to be negative for two of the next five years.  The Applicant has a $1.2 million line of credit that it can draw from and $682,036 in cash.  These funds will be used to construct the water system, distribution system and cover any cash shortages.  </w:t>
      </w:r>
    </w:p>
    <w:p w:rsidR="003C1C11" w:rsidRPr="003C1C11" w:rsidRDefault="003C1C11" w:rsidP="003C1C11">
      <w:pPr>
        <w:spacing w:after="0" w:line="240" w:lineRule="auto"/>
        <w:contextualSpacing/>
        <w:jc w:val="both"/>
        <w:rPr>
          <w:rFonts w:ascii="Times New Roman" w:eastAsia="Calibri" w:hAnsi="Times New Roman" w:cs="Times New Roman"/>
          <w:color w:val="000000"/>
          <w:sz w:val="24"/>
          <w:szCs w:val="24"/>
        </w:rPr>
      </w:pPr>
    </w:p>
    <w:p w:rsidR="003C1C11" w:rsidRPr="003C1C11" w:rsidRDefault="003C1C11" w:rsidP="003C1C11">
      <w:pPr>
        <w:spacing w:after="0" w:line="240" w:lineRule="auto"/>
        <w:contextualSpacing/>
        <w:jc w:val="both"/>
        <w:rPr>
          <w:rFonts w:ascii="Times New Roman" w:eastAsia="Calibri" w:hAnsi="Times New Roman" w:cs="Times New Roman"/>
          <w:color w:val="000000"/>
          <w:sz w:val="24"/>
          <w:szCs w:val="24"/>
        </w:rPr>
      </w:pPr>
      <w:r w:rsidRPr="003C1C11">
        <w:rPr>
          <w:rFonts w:ascii="Times New Roman" w:eastAsia="Calibri" w:hAnsi="Times New Roman" w:cs="Times New Roman"/>
          <w:b/>
          <w:i/>
          <w:color w:val="000000"/>
          <w:sz w:val="24"/>
          <w:szCs w:val="24"/>
        </w:rPr>
        <w:t>TWC §§ 13.246</w:t>
      </w:r>
      <w:r>
        <w:rPr>
          <w:rFonts w:ascii="Times New Roman" w:eastAsia="Calibri" w:hAnsi="Times New Roman" w:cs="Times New Roman"/>
          <w:b/>
          <w:i/>
          <w:color w:val="000000"/>
          <w:sz w:val="24"/>
          <w:szCs w:val="24"/>
        </w:rPr>
        <w:t>(c</w:t>
      </w:r>
      <w:proofErr w:type="gramStart"/>
      <w:r>
        <w:rPr>
          <w:rFonts w:ascii="Times New Roman" w:eastAsia="Calibri" w:hAnsi="Times New Roman" w:cs="Times New Roman"/>
          <w:b/>
          <w:i/>
          <w:color w:val="000000"/>
          <w:sz w:val="24"/>
          <w:szCs w:val="24"/>
        </w:rPr>
        <w:t>)</w:t>
      </w:r>
      <w:r w:rsidRPr="003C1C11">
        <w:rPr>
          <w:rFonts w:ascii="Times New Roman" w:eastAsia="Calibri" w:hAnsi="Times New Roman" w:cs="Times New Roman"/>
          <w:b/>
          <w:i/>
          <w:color w:val="000000"/>
          <w:sz w:val="24"/>
          <w:szCs w:val="24"/>
        </w:rPr>
        <w:t>(</w:t>
      </w:r>
      <w:proofErr w:type="gramEnd"/>
      <w:r w:rsidRPr="003C1C11">
        <w:rPr>
          <w:rFonts w:ascii="Times New Roman" w:eastAsia="Calibri" w:hAnsi="Times New Roman" w:cs="Times New Roman"/>
          <w:b/>
          <w:i/>
          <w:color w:val="000000"/>
          <w:sz w:val="24"/>
          <w:szCs w:val="24"/>
        </w:rPr>
        <w:t>7) and (9) require the Commission to consider the environmental integrity and the effect on the land to be included in the certificate.</w:t>
      </w:r>
      <w:r w:rsidRPr="003C1C11">
        <w:rPr>
          <w:rFonts w:ascii="Times New Roman" w:eastAsia="Calibri" w:hAnsi="Times New Roman" w:cs="Times New Roman"/>
          <w:color w:val="000000"/>
          <w:sz w:val="24"/>
          <w:szCs w:val="24"/>
        </w:rPr>
        <w:t xml:space="preserve">  </w:t>
      </w:r>
    </w:p>
    <w:p w:rsidR="003C1C11" w:rsidRPr="003C1C11" w:rsidRDefault="003C1C11" w:rsidP="003C1C11">
      <w:pPr>
        <w:spacing w:after="0" w:line="240" w:lineRule="auto"/>
        <w:contextualSpacing/>
        <w:jc w:val="both"/>
        <w:rPr>
          <w:rFonts w:ascii="Times New Roman" w:eastAsia="Calibri" w:hAnsi="Times New Roman" w:cs="Times New Roman"/>
          <w:color w:val="000000"/>
          <w:sz w:val="24"/>
          <w:szCs w:val="24"/>
        </w:rPr>
      </w:pPr>
      <w:r w:rsidRPr="003C1C11">
        <w:rPr>
          <w:rFonts w:ascii="Times New Roman" w:eastAsia="Calibri" w:hAnsi="Times New Roman" w:cs="Times New Roman"/>
          <w:color w:val="000000"/>
          <w:sz w:val="24"/>
          <w:szCs w:val="24"/>
        </w:rPr>
        <w:t>The environmental integrity of the land will be affected during the land clearing and construction necessary to provide service to the requested area.</w:t>
      </w:r>
    </w:p>
    <w:p w:rsidR="003C1C11" w:rsidRPr="003C1C11" w:rsidRDefault="003C1C11" w:rsidP="003C1C11">
      <w:pPr>
        <w:spacing w:after="0" w:line="240" w:lineRule="auto"/>
        <w:contextualSpacing/>
        <w:jc w:val="both"/>
        <w:rPr>
          <w:rFonts w:ascii="Times New Roman" w:eastAsia="Calibri" w:hAnsi="Times New Roman" w:cs="Times New Roman"/>
          <w:color w:val="000000"/>
          <w:sz w:val="24"/>
          <w:szCs w:val="24"/>
        </w:rPr>
      </w:pPr>
      <w:r w:rsidRPr="003C1C11">
        <w:rPr>
          <w:rFonts w:ascii="Times New Roman" w:eastAsia="Calibri" w:hAnsi="Times New Roman" w:cs="Times New Roman"/>
          <w:color w:val="000000"/>
          <w:sz w:val="24"/>
          <w:szCs w:val="24"/>
        </w:rPr>
        <w:t xml:space="preserve"> </w:t>
      </w:r>
    </w:p>
    <w:p w:rsidR="003C1C11" w:rsidRPr="003C1C11" w:rsidRDefault="003C1C11" w:rsidP="003C1C11">
      <w:pPr>
        <w:spacing w:after="0" w:line="240" w:lineRule="auto"/>
        <w:contextualSpacing/>
        <w:jc w:val="both"/>
        <w:rPr>
          <w:rFonts w:ascii="Times New Roman" w:eastAsia="Times New Roman" w:hAnsi="Times New Roman" w:cs="Times New Roman"/>
          <w:b/>
          <w:i/>
          <w:color w:val="000000"/>
          <w:sz w:val="24"/>
          <w:szCs w:val="24"/>
        </w:rPr>
      </w:pPr>
      <w:r w:rsidRPr="003C1C11">
        <w:rPr>
          <w:rFonts w:ascii="Times New Roman" w:eastAsia="Times New Roman" w:hAnsi="Times New Roman" w:cs="Times New Roman"/>
          <w:b/>
          <w:i/>
          <w:color w:val="000000"/>
          <w:sz w:val="24"/>
          <w:szCs w:val="24"/>
        </w:rPr>
        <w:t>TWC § 13.246</w:t>
      </w:r>
      <w:r>
        <w:rPr>
          <w:rFonts w:ascii="Times New Roman" w:eastAsia="Times New Roman" w:hAnsi="Times New Roman" w:cs="Times New Roman"/>
          <w:b/>
          <w:i/>
          <w:color w:val="000000"/>
          <w:sz w:val="24"/>
          <w:szCs w:val="24"/>
        </w:rPr>
        <w:t>(c</w:t>
      </w:r>
      <w:proofErr w:type="gramStart"/>
      <w:r>
        <w:rPr>
          <w:rFonts w:ascii="Times New Roman" w:eastAsia="Times New Roman" w:hAnsi="Times New Roman" w:cs="Times New Roman"/>
          <w:b/>
          <w:i/>
          <w:color w:val="000000"/>
          <w:sz w:val="24"/>
          <w:szCs w:val="24"/>
        </w:rPr>
        <w:t>)</w:t>
      </w:r>
      <w:r w:rsidRPr="003C1C11">
        <w:rPr>
          <w:rFonts w:ascii="Times New Roman" w:eastAsia="Times New Roman" w:hAnsi="Times New Roman" w:cs="Times New Roman"/>
          <w:b/>
          <w:i/>
          <w:color w:val="000000"/>
          <w:sz w:val="24"/>
          <w:szCs w:val="24"/>
        </w:rPr>
        <w:t>(</w:t>
      </w:r>
      <w:proofErr w:type="gramEnd"/>
      <w:r w:rsidRPr="003C1C11">
        <w:rPr>
          <w:rFonts w:ascii="Times New Roman" w:eastAsia="Times New Roman" w:hAnsi="Times New Roman" w:cs="Times New Roman"/>
          <w:b/>
          <w:i/>
          <w:color w:val="000000"/>
          <w:sz w:val="24"/>
          <w:szCs w:val="24"/>
        </w:rPr>
        <w:t xml:space="preserve">8) requires the Commission to consider the probable improvement in service or lowering of cost to consumers.  </w:t>
      </w:r>
    </w:p>
    <w:p w:rsidR="003C1C11" w:rsidRPr="003C1C11" w:rsidRDefault="003C1C11" w:rsidP="003C1C11">
      <w:pPr>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color w:val="000000"/>
          <w:sz w:val="24"/>
          <w:szCs w:val="24"/>
        </w:rPr>
        <w:t xml:space="preserve">The area does not currently have any existing service. </w:t>
      </w:r>
    </w:p>
    <w:p w:rsidR="003C1C11" w:rsidRPr="003C1C11" w:rsidRDefault="003C1C11" w:rsidP="003C1C11">
      <w:pPr>
        <w:spacing w:after="0" w:line="240" w:lineRule="auto"/>
        <w:jc w:val="both"/>
        <w:rPr>
          <w:rFonts w:ascii="Times New Roman" w:eastAsia="Times New Roman" w:hAnsi="Times New Roman" w:cs="Times New Roman"/>
          <w:color w:val="000000"/>
          <w:sz w:val="24"/>
          <w:szCs w:val="24"/>
        </w:rPr>
      </w:pPr>
    </w:p>
    <w:p w:rsidR="003C1C11" w:rsidRPr="003C1C11" w:rsidRDefault="003C1C11" w:rsidP="003C1C11">
      <w:pPr>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color w:val="000000"/>
          <w:sz w:val="24"/>
          <w:szCs w:val="24"/>
        </w:rPr>
        <w:t>Staff recommends that the Applicant meets all of the statutory requirements of TWC Chapter 13 and 16 TAC Chapter 24 and is capable of providing continuous and adequate service.  Approving this application to amend water CCN No. 11373 is necessary for the service, accommodation, convenience and safety of the public.</w:t>
      </w:r>
    </w:p>
    <w:p w:rsidR="003C1C11" w:rsidRPr="003C1C11" w:rsidRDefault="003C1C11" w:rsidP="003C1C11">
      <w:pPr>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color w:val="000000"/>
          <w:sz w:val="24"/>
          <w:szCs w:val="24"/>
        </w:rPr>
        <w:t xml:space="preserve">  </w:t>
      </w:r>
    </w:p>
    <w:p w:rsidR="003C1C11" w:rsidRPr="003C1C11" w:rsidRDefault="003C1C11" w:rsidP="003C1C11">
      <w:pPr>
        <w:spacing w:after="0" w:line="240" w:lineRule="auto"/>
        <w:jc w:val="both"/>
        <w:rPr>
          <w:rFonts w:ascii="Times New Roman" w:eastAsia="Times New Roman" w:hAnsi="Times New Roman" w:cs="Times New Roman"/>
          <w:color w:val="000000"/>
          <w:sz w:val="24"/>
          <w:szCs w:val="24"/>
        </w:rPr>
      </w:pPr>
      <w:r w:rsidRPr="003C1C11">
        <w:rPr>
          <w:rFonts w:ascii="Times New Roman" w:eastAsia="Times New Roman" w:hAnsi="Times New Roman" w:cs="Times New Roman"/>
          <w:noProof/>
          <w:color w:val="000000"/>
          <w:sz w:val="24"/>
          <w:szCs w:val="24"/>
        </w:rPr>
        <w:t>T</w:t>
      </w:r>
      <w:r w:rsidRPr="003C1C11">
        <w:rPr>
          <w:rFonts w:ascii="Times New Roman" w:eastAsia="Times New Roman" w:hAnsi="Times New Roman" w:cs="Times New Roman"/>
          <w:color w:val="000000"/>
          <w:sz w:val="24"/>
          <w:szCs w:val="24"/>
        </w:rPr>
        <w:t>he Applicant consented to the attached map and certificate on August 30, 2018, and consented to the attached water tariff for CCN No. 11373 on September 14, 2018.</w:t>
      </w:r>
    </w:p>
    <w:p w:rsidR="003C1C11" w:rsidRPr="003C1C11" w:rsidRDefault="003C1C11" w:rsidP="003C1C11">
      <w:pPr>
        <w:spacing w:after="0" w:line="240" w:lineRule="auto"/>
        <w:jc w:val="both"/>
        <w:rPr>
          <w:rFonts w:ascii="Times New Roman" w:eastAsia="Times New Roman" w:hAnsi="Times New Roman" w:cs="Times New Roman"/>
          <w:color w:val="000000"/>
          <w:sz w:val="24"/>
          <w:szCs w:val="24"/>
        </w:rPr>
      </w:pP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C1C11">
        <w:rPr>
          <w:rFonts w:ascii="Times New Roman" w:eastAsia="Calibri" w:hAnsi="Times New Roman" w:cs="Times New Roman"/>
          <w:color w:val="000000"/>
          <w:sz w:val="24"/>
          <w:szCs w:val="24"/>
        </w:rPr>
        <w:t xml:space="preserve">Based on the above information, Staff recommends </w:t>
      </w:r>
      <w:r w:rsidRPr="003C1C11">
        <w:rPr>
          <w:rFonts w:ascii="Times New Roman" w:eastAsia="Times New Roman" w:hAnsi="Times New Roman" w:cs="Times New Roman"/>
          <w:color w:val="000000"/>
          <w:sz w:val="24"/>
          <w:szCs w:val="24"/>
        </w:rPr>
        <w:t xml:space="preserve">approval of the application. </w:t>
      </w:r>
    </w:p>
    <w:p w:rsidR="003C1C11" w:rsidRPr="003C1C11" w:rsidRDefault="003C1C11" w:rsidP="003C1C1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rsidR="00906FA9" w:rsidRPr="00CA48E7" w:rsidRDefault="00906FA9" w:rsidP="00906FA9">
      <w:pPr>
        <w:jc w:val="center"/>
        <w:rPr>
          <w:rFonts w:ascii="Times New Roman" w:hAnsi="Times New Roman" w:cs="Times New Roman"/>
          <w:b/>
          <w:sz w:val="24"/>
          <w:szCs w:val="24"/>
        </w:rPr>
      </w:pPr>
    </w:p>
    <w:p w:rsidR="00906FA9" w:rsidRPr="00CA48E7" w:rsidRDefault="00906FA9" w:rsidP="00906FA9">
      <w:pPr>
        <w:jc w:val="center"/>
        <w:rPr>
          <w:rFonts w:ascii="Times New Roman" w:hAnsi="Times New Roman" w:cs="Times New Roman"/>
          <w:b/>
          <w:sz w:val="24"/>
          <w:szCs w:val="24"/>
        </w:rPr>
      </w:pPr>
    </w:p>
    <w:p w:rsidR="00906FA9" w:rsidRPr="00CA48E7" w:rsidRDefault="00906FA9" w:rsidP="00906FA9">
      <w:pPr>
        <w:jc w:val="center"/>
        <w:rPr>
          <w:rFonts w:ascii="Times New Roman" w:hAnsi="Times New Roman" w:cs="Times New Roman"/>
          <w:b/>
          <w:sz w:val="24"/>
          <w:szCs w:val="24"/>
        </w:rPr>
      </w:pPr>
    </w:p>
    <w:p w:rsidR="00906FA9" w:rsidRPr="00CA48E7" w:rsidRDefault="00906FA9" w:rsidP="00906FA9">
      <w:pPr>
        <w:jc w:val="center"/>
        <w:rPr>
          <w:rFonts w:ascii="Times New Roman" w:hAnsi="Times New Roman" w:cs="Times New Roman"/>
          <w:b/>
          <w:sz w:val="24"/>
          <w:szCs w:val="24"/>
        </w:rPr>
      </w:pPr>
    </w:p>
    <w:p w:rsidR="00851045" w:rsidRPr="00CA48E7" w:rsidRDefault="00851045" w:rsidP="001C6F71">
      <w:pPr>
        <w:spacing w:after="0"/>
        <w:jc w:val="both"/>
        <w:rPr>
          <w:rFonts w:ascii="Times New Roman" w:hAnsi="Times New Roman" w:cs="Times New Roman"/>
          <w:sz w:val="24"/>
          <w:szCs w:val="24"/>
        </w:rPr>
      </w:pPr>
    </w:p>
    <w:sectPr w:rsidR="00851045" w:rsidRPr="00CA48E7" w:rsidSect="00275909">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F7A" w:rsidRDefault="00775F7A" w:rsidP="00775F7A">
      <w:pPr>
        <w:spacing w:after="0" w:line="240" w:lineRule="auto"/>
      </w:pPr>
      <w:r>
        <w:separator/>
      </w:r>
    </w:p>
  </w:endnote>
  <w:endnote w:type="continuationSeparator" w:id="0">
    <w:p w:rsidR="00775F7A" w:rsidRDefault="00775F7A" w:rsidP="0077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F7A" w:rsidRDefault="00775F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F7A" w:rsidRDefault="00775F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F7A" w:rsidRDefault="00775F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F7A" w:rsidRDefault="00775F7A" w:rsidP="00775F7A">
      <w:pPr>
        <w:spacing w:after="0" w:line="240" w:lineRule="auto"/>
      </w:pPr>
      <w:r>
        <w:separator/>
      </w:r>
    </w:p>
  </w:footnote>
  <w:footnote w:type="continuationSeparator" w:id="0">
    <w:p w:rsidR="00775F7A" w:rsidRDefault="00775F7A" w:rsidP="00775F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F7A" w:rsidRDefault="00775F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F7A" w:rsidRDefault="00775F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F7A" w:rsidRDefault="00775F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B77"/>
    <w:rsid w:val="00067F15"/>
    <w:rsid w:val="000D4EE1"/>
    <w:rsid w:val="00172EEB"/>
    <w:rsid w:val="001B37C6"/>
    <w:rsid w:val="001C6F71"/>
    <w:rsid w:val="0020333E"/>
    <w:rsid w:val="00221AD8"/>
    <w:rsid w:val="00273D16"/>
    <w:rsid w:val="002E43E0"/>
    <w:rsid w:val="00352210"/>
    <w:rsid w:val="003B4D5F"/>
    <w:rsid w:val="003C1C11"/>
    <w:rsid w:val="003C20D5"/>
    <w:rsid w:val="00423FB0"/>
    <w:rsid w:val="004324D4"/>
    <w:rsid w:val="004B601A"/>
    <w:rsid w:val="004B73E9"/>
    <w:rsid w:val="00522226"/>
    <w:rsid w:val="005332D1"/>
    <w:rsid w:val="005C7523"/>
    <w:rsid w:val="005C77A1"/>
    <w:rsid w:val="005F677E"/>
    <w:rsid w:val="00650A00"/>
    <w:rsid w:val="006B6497"/>
    <w:rsid w:val="00775F7A"/>
    <w:rsid w:val="00795977"/>
    <w:rsid w:val="007F0674"/>
    <w:rsid w:val="00851045"/>
    <w:rsid w:val="0090543B"/>
    <w:rsid w:val="00906FA9"/>
    <w:rsid w:val="00992E78"/>
    <w:rsid w:val="009C6D5C"/>
    <w:rsid w:val="009D55D6"/>
    <w:rsid w:val="00A16C8B"/>
    <w:rsid w:val="00B441DC"/>
    <w:rsid w:val="00BA6551"/>
    <w:rsid w:val="00C25974"/>
    <w:rsid w:val="00C903A1"/>
    <w:rsid w:val="00C96A11"/>
    <w:rsid w:val="00CA48E7"/>
    <w:rsid w:val="00D23288"/>
    <w:rsid w:val="00D24AC4"/>
    <w:rsid w:val="00D30DDB"/>
    <w:rsid w:val="00D5240C"/>
    <w:rsid w:val="00E27EB4"/>
    <w:rsid w:val="00EB0CAC"/>
    <w:rsid w:val="00EE2659"/>
    <w:rsid w:val="00F20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0B77"/>
    <w:pPr>
      <w:ind w:left="720"/>
      <w:contextualSpacing/>
    </w:pPr>
  </w:style>
  <w:style w:type="paragraph" w:styleId="Header">
    <w:name w:val="header"/>
    <w:basedOn w:val="Normal"/>
    <w:link w:val="HeaderChar"/>
    <w:unhideWhenUsed/>
    <w:rsid w:val="00F20B77"/>
    <w:pPr>
      <w:tabs>
        <w:tab w:val="center" w:pos="4680"/>
        <w:tab w:val="right" w:pos="9360"/>
      </w:tabs>
      <w:spacing w:after="0" w:line="240" w:lineRule="auto"/>
    </w:pPr>
  </w:style>
  <w:style w:type="character" w:customStyle="1" w:styleId="HeaderChar">
    <w:name w:val="Header Char"/>
    <w:basedOn w:val="DefaultParagraphFont"/>
    <w:link w:val="Header"/>
    <w:rsid w:val="00F20B77"/>
  </w:style>
  <w:style w:type="paragraph" w:styleId="NoSpacing">
    <w:name w:val="No Spacing"/>
    <w:uiPriority w:val="1"/>
    <w:qFormat/>
    <w:rsid w:val="00F20B77"/>
    <w:pPr>
      <w:spacing w:after="0" w:line="240" w:lineRule="auto"/>
    </w:pPr>
  </w:style>
  <w:style w:type="paragraph" w:styleId="BalloonText">
    <w:name w:val="Balloon Text"/>
    <w:basedOn w:val="Normal"/>
    <w:link w:val="BalloonTextChar"/>
    <w:uiPriority w:val="99"/>
    <w:semiHidden/>
    <w:unhideWhenUsed/>
    <w:rsid w:val="001C6F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F71"/>
    <w:rPr>
      <w:rFonts w:ascii="Segoe UI" w:hAnsi="Segoe UI" w:cs="Segoe UI"/>
      <w:sz w:val="18"/>
      <w:szCs w:val="18"/>
    </w:rPr>
  </w:style>
  <w:style w:type="paragraph" w:styleId="Footer">
    <w:name w:val="footer"/>
    <w:basedOn w:val="Normal"/>
    <w:link w:val="FooterChar"/>
    <w:uiPriority w:val="99"/>
    <w:unhideWhenUsed/>
    <w:rsid w:val="00775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726</Words>
  <Characters>4142</Characters>
  <Application>Microsoft Office Word</Application>
  <DocSecurity>0</DocSecurity>
  <Lines>34</Lines>
  <Paragraphs>9</Paragraphs>
  <ScaleCrop>false</ScaleCrop>
  <Company/>
  <LinksUpToDate>false</LinksUpToDate>
  <CharactersWithSpaces>4859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2018-12-19T18:22:00Z</dcterms:created>
  <dcterms:modified xsi:type="dcterms:W3CDTF">2018-12-19T18:22:00Z</dcterms:modified>
</cp:coreProperties>
</file>